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88" w:rsidRPr="00521688" w:rsidRDefault="00521688" w:rsidP="00C3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</w:rPr>
      </w:pPr>
      <w:r w:rsidRPr="0052168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u w:val="single"/>
        </w:rPr>
        <w:t>Questions and Answers</w:t>
      </w:r>
    </w:p>
    <w:p w:rsidR="00521688" w:rsidRPr="00521688" w:rsidRDefault="00521688" w:rsidP="00C3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521688" w:rsidRPr="00521688" w:rsidRDefault="00521688" w:rsidP="00C34836">
      <w:pPr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Call for Proposals/ Guidelines </w:t>
      </w:r>
      <w:r w:rsidRPr="0052168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for sub-granting applications</w: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/ </w:t>
      </w:r>
      <w:r w:rsidRPr="0052168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Toka Jone – Re-use of confiscated assets for social agriculture</w: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/ </w:t>
      </w:r>
      <w:r w:rsidRPr="0052168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Reference: EuropeAid/171607/DD/ACT/AL</w:t>
      </w:r>
    </w:p>
    <w:p w:rsidR="00521688" w:rsidRPr="00521688" w:rsidRDefault="00521688" w:rsidP="00C34836">
      <w:pPr>
        <w:jc w:val="both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521688" w:rsidRPr="00AA25F3" w:rsidRDefault="00521688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A25F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Q.1: 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How to check the physical location of confiscated land parcels? </w:t>
      </w:r>
    </w:p>
    <w:p w:rsidR="00521688" w:rsidRDefault="00521688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A25F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A.1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In the Guidelines 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for sub-granting applications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section 1.2.</w:t>
      </w:r>
      <w:r w:rsidR="00AA25F3"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The SADF Sub-granting scheme it is published the list </w:t>
      </w:r>
      <w:r w:rsid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of consfiscated agriculture land, their type of property, area in m2, and the villages in which they reside. In Annex H there are photos of the confiscated assets and of the sorrounding areas. </w:t>
      </w:r>
    </w:p>
    <w:p w:rsidR="00C34836" w:rsidRDefault="00AA25F3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A25F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Q.2: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Our entity is formally registered and operates in the territory of the Republic of Albania as the branch of an organisation estab</w:t>
      </w:r>
      <w:r w:rsid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lished in an EU member state. I</w:t>
      </w:r>
      <w:r w:rsidRPr="00AA25F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 our entity eligible to apply?</w:t>
      </w:r>
    </w:p>
    <w:p w:rsidR="00AA25F3" w:rsidRDefault="00AA25F3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AA25F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A.2: </w:t>
      </w:r>
      <w:r w:rsid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Based on section </w:t>
      </w:r>
      <w:r w:rsidR="00C34836"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2.1.1.</w:t>
      </w:r>
      <w:r w:rsidR="00C34836"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  <w:t>Eligibility of applicants (i.e. lead applicant and co-applicant(s))</w:t>
      </w:r>
      <w:r w:rsid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elligible are only those organisation that are registered formally in Albania </w:t>
      </w:r>
      <w:r w:rsidR="00C34836"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 years prior to the deadline for submission of project proposal</w:t>
      </w:r>
      <w:r w:rsid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and have an Albanian NIPT Registration Number. Branches of international organizations are not excluded from this call for proposals, but in matter of competition, local native organizations have a priority. </w:t>
      </w:r>
    </w:p>
    <w:p w:rsidR="00C34836" w:rsidRDefault="00C34836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D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Q.3: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Can the duration of our proposed action be foreseen for twelve months?</w:t>
      </w:r>
    </w:p>
    <w:p w:rsidR="00C34836" w:rsidRDefault="00C34836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D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A.3: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The initial planned duration of an action may not be lower than 10 months. </w:t>
      </w:r>
      <w:r w:rsidR="00B37D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However, all the interested organizations shall be informed that the period of </w:t>
      </w:r>
      <w:r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sub-grant may be prolonged to </w:t>
      </w:r>
      <w:r w:rsidR="00B37D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9 more months in the future</w:t>
      </w:r>
      <w:r w:rsidRPr="00C3483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 if the a</w:t>
      </w:r>
      <w:r w:rsidR="00B37D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ddendum of the grant contract will be approved by EUD. </w:t>
      </w:r>
    </w:p>
    <w:p w:rsidR="00B37D28" w:rsidRDefault="00B37D28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D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Q.4: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Are agriculture businessess elligible to be financed by the ‘Toka Jone’ sub-granting fund?</w:t>
      </w:r>
    </w:p>
    <w:p w:rsidR="00B37D28" w:rsidRDefault="00B37D28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B37D2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A:4: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The Social Agriculture Development Fund (SAFD) of Toka Jone project is dedicated only to the funding of the social agriculture initiatives deve</w:t>
      </w:r>
      <w:r w:rsidR="00DE54F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loped in the confiscated agriculture lands administered by the Agency for the Administration of the Seized and Confiscated Assets (AAPSK)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</w:p>
    <w:p w:rsidR="005B301E" w:rsidRDefault="005B301E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5279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Q.5: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What is the maximum of Human Resources Eliggible Costs?</w:t>
      </w:r>
    </w:p>
    <w:p w:rsidR="00B37D28" w:rsidRDefault="005B301E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5279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A.5:</w:t>
      </w:r>
      <w:r w:rsid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Referring to the </w:t>
      </w:r>
      <w:r w:rsidR="0055279C" w:rsidRP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Guidelines for sub-granting applications</w:t>
      </w:r>
      <w:r w:rsid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‘</w:t>
      </w:r>
      <w:r w:rsidR="0055279C" w:rsidRPr="0055279C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Costs related to “human resources” must not exceed the 25% of the total grant of the projec</w:t>
      </w:r>
      <w:r w:rsidR="0055279C" w:rsidRP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</w:t>
      </w:r>
      <w:r w:rsid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’</w:t>
      </w:r>
      <w:r w:rsidR="0055279C" w:rsidRPr="0055279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55279C" w:rsidRDefault="0055279C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5279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Q.6: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In the budget lines ‘local transport’ refers only to staff transportation? </w:t>
      </w:r>
    </w:p>
    <w:p w:rsidR="0055279C" w:rsidRDefault="0055279C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5279C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A.6: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E68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The budget of the action, based on the eligibility of the costs, refers only to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staff transportation.</w:t>
      </w:r>
    </w:p>
    <w:p w:rsidR="0055279C" w:rsidRDefault="0055279C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0E68B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Q.7: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In the budget line Equipment and supplies (3.1. Rent car vehicles) refers to </w:t>
      </w:r>
      <w:r w:rsidR="000E68B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vehicles used for transportation of agriculture materials?</w:t>
      </w:r>
    </w:p>
    <w:p w:rsidR="000E68BB" w:rsidRDefault="000E68BB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36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t>A.7: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This line of the budget in the Annex B refers only to use the rented vehicles for staff transportation as foreseen as well in the </w:t>
      </w:r>
      <w:r w:rsid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section </w:t>
      </w:r>
      <w:r w:rsidR="0043369A" w:rsidRPr="0043369A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</w:rPr>
        <w:t>2.1.4. Eligibility of costs: costs that can be included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while for the transportation of the agriculture </w:t>
      </w:r>
      <w:r w:rsid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or other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materials, they must be included in a separate invoice. </w:t>
      </w:r>
    </w:p>
    <w:p w:rsidR="0043369A" w:rsidRDefault="0043369A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36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Q.8: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In the budget line 4.1. Vehicle cost can be included as well the costs of staff local transportation in different activities? </w:t>
      </w:r>
    </w:p>
    <w:p w:rsidR="0043369A" w:rsidRDefault="0043369A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36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A.8: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This budget line is dedicated only to the vehicle costs. Participation in different activities can be i</w:t>
      </w:r>
      <w:r w:rsidR="004564A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ncluded in the budget lines dedicated to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local transportation. </w:t>
      </w:r>
    </w:p>
    <w:p w:rsidR="0043369A" w:rsidRDefault="0043369A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4336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Q.9: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Is a local business </w:t>
      </w:r>
      <w:r w:rsidRP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eligible to apply as a co-applicant for this Call for Proposals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?</w:t>
      </w:r>
    </w:p>
    <w:p w:rsidR="0043369A" w:rsidRPr="00C34836" w:rsidRDefault="004564A6" w:rsidP="00C34836">
      <w:pPr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A.9</w:t>
      </w:r>
      <w:r w:rsidR="0043369A" w:rsidRPr="0043369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:</w:t>
      </w:r>
      <w:r w:rsid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Referring to the </w:t>
      </w:r>
      <w:r w:rsidR="0043369A" w:rsidRP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Guidelines for sub-granting applications</w:t>
      </w:r>
      <w:r w:rsid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section 2.1.1. </w:t>
      </w:r>
      <w:r w:rsidR="0043369A" w:rsidRP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Eligibility of applicants (i.e. lea</w:t>
      </w:r>
      <w:r w:rsidR="0043369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d applicant and co-applicant(s), local businesses can apply only as ‘associates’ and not as ‘co-aplicants’. </w:t>
      </w:r>
    </w:p>
    <w:p w:rsidR="006A3404" w:rsidRDefault="00521688" w:rsidP="00521688">
      <w:pP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521688" w:rsidRDefault="00521688" w:rsidP="00521688"/>
    <w:sectPr w:rsidR="00521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F0"/>
    <w:rsid w:val="000E68BB"/>
    <w:rsid w:val="0043369A"/>
    <w:rsid w:val="004564A6"/>
    <w:rsid w:val="00521688"/>
    <w:rsid w:val="0055279C"/>
    <w:rsid w:val="005B301E"/>
    <w:rsid w:val="005B3550"/>
    <w:rsid w:val="006A3404"/>
    <w:rsid w:val="0076271B"/>
    <w:rsid w:val="00AA25F3"/>
    <w:rsid w:val="00B37D28"/>
    <w:rsid w:val="00C34836"/>
    <w:rsid w:val="00DE54F0"/>
    <w:rsid w:val="00F0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A87D"/>
  <w15:chartTrackingRefBased/>
  <w15:docId w15:val="{F8DAE11A-5318-4999-A3C6-4D1E954D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Balla</dc:creator>
  <cp:keywords/>
  <dc:description/>
  <cp:lastModifiedBy>Jonida Balla</cp:lastModifiedBy>
  <cp:revision>2</cp:revision>
  <dcterms:created xsi:type="dcterms:W3CDTF">2023-03-17T12:01:00Z</dcterms:created>
  <dcterms:modified xsi:type="dcterms:W3CDTF">2023-03-17T14:50:00Z</dcterms:modified>
</cp:coreProperties>
</file>